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BC" w:rsidRPr="00770EBC" w:rsidRDefault="00770EBC" w:rsidP="00770EBC">
      <w:pPr>
        <w:spacing w:line="240" w:lineRule="auto"/>
        <w:rPr>
          <w:rFonts w:ascii="Arial" w:eastAsia="Times New Roman" w:hAnsi="Arial" w:cs="Arial"/>
          <w:b/>
          <w:color w:val="3D4146"/>
        </w:rPr>
      </w:pPr>
      <w:bookmarkStart w:id="0" w:name="_GoBack"/>
      <w:bookmarkEnd w:id="0"/>
      <w:proofErr w:type="spellStart"/>
      <w:r w:rsidRPr="00770EBC">
        <w:rPr>
          <w:rFonts w:ascii="Arial" w:eastAsia="Times New Roman" w:hAnsi="Arial" w:cs="Arial"/>
          <w:b/>
          <w:color w:val="3D4146"/>
        </w:rPr>
        <w:t>Росреестр</w:t>
      </w:r>
      <w:proofErr w:type="spellEnd"/>
      <w:r w:rsidRPr="00770EBC">
        <w:rPr>
          <w:rFonts w:ascii="Arial" w:eastAsia="Times New Roman" w:hAnsi="Arial" w:cs="Arial"/>
          <w:b/>
          <w:color w:val="3D4146"/>
        </w:rPr>
        <w:t xml:space="preserve"> разъяснил, как будет действовать закон о выявлении правообладателей ранее учтенных объектов недвижимости</w:t>
      </w:r>
    </w:p>
    <w:p w:rsidR="00770EBC" w:rsidRPr="00770EBC" w:rsidRDefault="00770EBC" w:rsidP="00770EBC">
      <w:pPr>
        <w:spacing w:after="0" w:line="384" w:lineRule="atLeast"/>
        <w:rPr>
          <w:rFonts w:ascii="Arial" w:eastAsia="Times New Roman" w:hAnsi="Arial" w:cs="Arial"/>
          <w:color w:val="68981A"/>
          <w:sz w:val="24"/>
          <w:szCs w:val="24"/>
        </w:rPr>
      </w:pPr>
      <w:r w:rsidRPr="00770EBC">
        <w:rPr>
          <w:rFonts w:ascii="Arial" w:eastAsia="Times New Roman" w:hAnsi="Arial" w:cs="Arial"/>
          <w:color w:val="68981A"/>
          <w:sz w:val="24"/>
          <w:szCs w:val="24"/>
        </w:rPr>
        <w:t>29 Июня 2021</w:t>
      </w:r>
    </w:p>
    <w:p w:rsidR="00770EBC" w:rsidRPr="00770EBC" w:rsidRDefault="00770EBC" w:rsidP="00770EBC">
      <w:pPr>
        <w:spacing w:after="0" w:line="240" w:lineRule="auto"/>
        <w:rPr>
          <w:rFonts w:ascii="Arial" w:eastAsia="Times New Roman" w:hAnsi="Arial" w:cs="Arial"/>
          <w:color w:val="292C2F"/>
          <w:sz w:val="24"/>
          <w:szCs w:val="24"/>
        </w:rPr>
      </w:pPr>
      <w:r w:rsidRPr="00770EBC">
        <w:rPr>
          <w:rFonts w:ascii="Arial" w:eastAsia="Times New Roman" w:hAnsi="Arial" w:cs="Arial"/>
          <w:color w:val="292C2F"/>
          <w:sz w:val="24"/>
          <w:szCs w:val="24"/>
        </w:rPr>
        <w:t>29 июня 2021 года вступает в силу Федеральный закон 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Процедура реализации закона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>Реализацией закона займутся </w:t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органы государственной власти и органы местного самоуправления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>. Никаких действий со стороны правообладателей ранее учтенных объектов недвижимости не потребуется.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Муниципалитеты проведут всю необходимую работу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 xml:space="preserve"> 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770EBC">
        <w:rPr>
          <w:rFonts w:ascii="Arial" w:eastAsia="Times New Roman" w:hAnsi="Arial" w:cs="Arial"/>
          <w:color w:val="292C2F"/>
          <w:sz w:val="24"/>
          <w:szCs w:val="24"/>
        </w:rPr>
        <w:t>Росреестр</w:t>
      </w:r>
      <w:proofErr w:type="spellEnd"/>
      <w:r w:rsidRPr="00770EBC">
        <w:rPr>
          <w:rFonts w:ascii="Arial" w:eastAsia="Times New Roman" w:hAnsi="Arial" w:cs="Arial"/>
          <w:color w:val="292C2F"/>
          <w:sz w:val="24"/>
          <w:szCs w:val="24"/>
        </w:rPr>
        <w:t xml:space="preserve"> заявления о внесении в ЕГРН соответствующих сведений.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>Также закон предполагает </w:t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возможность снятия с кадастрового учета прекративших существование зданий и сооружений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Информация для правообладателей ранее учтенных объектов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регистрация ранее возникших прав не является обязательной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> и осуществляется по желанию их обладателей.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>Наоборот, </w:t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> 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>При этом </w:t>
      </w:r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 xml:space="preserve">правообладатель ранее учтенного объекта по желанию может сам обратиться в </w:t>
      </w:r>
      <w:proofErr w:type="spellStart"/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>Росреестр</w:t>
      </w:r>
      <w:proofErr w:type="spellEnd"/>
      <w:r w:rsidRPr="00770EBC">
        <w:rPr>
          <w:rFonts w:ascii="Arial" w:eastAsia="Times New Roman" w:hAnsi="Arial" w:cs="Arial"/>
          <w:b/>
          <w:bCs/>
          <w:color w:val="292C2F"/>
          <w:sz w:val="24"/>
          <w:szCs w:val="24"/>
        </w:rPr>
        <w:t xml:space="preserve"> с заявлением о государственной регистрации ранее возникшего права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t xml:space="preserve">Ранее учтенными объектами недвижимости </w:t>
      </w:r>
      <w:proofErr w:type="gramStart"/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t>считаются</w:t>
      </w:r>
      <w:proofErr w:type="gramEnd"/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t xml:space="preserve"> в том числе те, права </w:t>
      </w:r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lastRenderedPageBreak/>
        <w:t>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t>правоудостоверяющих</w:t>
      </w:r>
      <w:proofErr w:type="spellEnd"/>
      <w:r w:rsidRPr="00770EBC">
        <w:rPr>
          <w:rFonts w:ascii="Arial" w:eastAsia="Times New Roman" w:hAnsi="Arial" w:cs="Arial"/>
          <w:i/>
          <w:iCs/>
          <w:color w:val="292C2F"/>
          <w:sz w:val="24"/>
          <w:szCs w:val="24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</w:r>
      <w:r w:rsidRPr="00770EBC">
        <w:rPr>
          <w:rFonts w:ascii="Arial" w:eastAsia="Times New Roman" w:hAnsi="Arial" w:cs="Arial"/>
          <w:color w:val="292C2F"/>
          <w:sz w:val="24"/>
          <w:szCs w:val="24"/>
        </w:rPr>
        <w:br/>
        <w:t xml:space="preserve">Действие нового </w:t>
      </w:r>
      <w:proofErr w:type="gramStart"/>
      <w:r w:rsidRPr="00770EBC">
        <w:rPr>
          <w:rFonts w:ascii="Arial" w:eastAsia="Times New Roman" w:hAnsi="Arial" w:cs="Arial"/>
          <w:color w:val="292C2F"/>
          <w:sz w:val="24"/>
          <w:szCs w:val="24"/>
        </w:rPr>
        <w:t>закона</w:t>
      </w:r>
      <w:proofErr w:type="gramEnd"/>
      <w:r w:rsidRPr="00770EBC">
        <w:rPr>
          <w:rFonts w:ascii="Arial" w:eastAsia="Times New Roman" w:hAnsi="Arial" w:cs="Arial"/>
          <w:color w:val="292C2F"/>
          <w:sz w:val="24"/>
          <w:szCs w:val="24"/>
        </w:rPr>
        <w:t xml:space="preserve"> в том числе распространяется на ранее учтенные объекты недвижимости на территориях Республики Крым и города Севастополя, где действуют определенные особенности правового регулирования имущественных и земельных отношений.</w:t>
      </w:r>
    </w:p>
    <w:p w:rsidR="00F278ED" w:rsidRDefault="006A775E" w:rsidP="00770EBC">
      <w:hyperlink r:id="rId5" w:history="1">
        <w:r w:rsidR="00770EBC" w:rsidRPr="00770EBC">
          <w:rPr>
            <w:rFonts w:ascii="Arial" w:eastAsia="Times New Roman" w:hAnsi="Arial" w:cs="Arial"/>
            <w:color w:val="292C2F"/>
            <w:sz w:val="24"/>
            <w:szCs w:val="24"/>
          </w:rPr>
          <w:br/>
        </w:r>
      </w:hyperlink>
    </w:p>
    <w:sectPr w:rsidR="00F278ED" w:rsidSect="00F2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BC"/>
    <w:rsid w:val="006A775E"/>
    <w:rsid w:val="00770EBC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1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6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97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osreestr-bolee-530-tysyach-zayavleniy-podano-na-uchetno-registratsionnye-deystviya-na-proshloy-ne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2022-10-25T13:00:00Z</dcterms:created>
  <dcterms:modified xsi:type="dcterms:W3CDTF">2022-10-25T13:00:00Z</dcterms:modified>
</cp:coreProperties>
</file>