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7"/>
        <w:gridCol w:w="4536"/>
      </w:tblGrid>
      <w:tr>
        <w:trPr/>
        <w:tc>
          <w:tcPr>
            <w:tcW w:w="49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Normal"/>
              <w:rPr/>
            </w:pPr>
            <w:r>
              <w:rPr/>
              <w:t>Приложение 1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</w:t>
            </w:r>
            <w:r>
              <w:rPr/>
              <w:t>УТВЕРЖДЕНО</w:t>
            </w:r>
          </w:p>
          <w:p>
            <w:pPr>
              <w:pStyle w:val="Normal"/>
              <w:rPr/>
            </w:pPr>
            <w:r>
              <w:rPr/>
              <w:t xml:space="preserve">приказом департамента потребительской сферы </w:t>
              <w:br/>
              <w:t>и регулирования рынка алкоголя</w:t>
            </w:r>
          </w:p>
          <w:p>
            <w:pPr>
              <w:pStyle w:val="Normal"/>
              <w:rPr/>
            </w:pPr>
            <w:r>
              <w:rPr/>
              <w:t>Краснодарского края                                                            от _____________  №  _________</w:t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ПОЛОЖЕНИЕ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конкурса</w:t>
      </w:r>
    </w:p>
    <w:p>
      <w:pPr>
        <w:pStyle w:val="Normal"/>
        <w:ind w:left="-142"/>
        <w:rPr>
          <w:b/>
        </w:rPr>
      </w:pPr>
      <w:r>
        <w:rPr>
          <w:b/>
        </w:rPr>
        <w:t>«Лучшее предприятие розничной торговли Краснодарского края 2025 года»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jc w:val="center"/>
        <w:rPr/>
      </w:pPr>
      <w:r>
        <w:rPr/>
        <w:t>Общие положения</w:t>
      </w:r>
    </w:p>
    <w:p>
      <w:pPr>
        <w:pStyle w:val="Normal"/>
        <w:ind w:hanging="840" w:left="840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1.1. Настоящее Положение регламентирует общий порядок проведения конкурса «Лучшее предприятие розничной торговли Краснодарского края </w:t>
        <w:br/>
        <w:t xml:space="preserve">2025 года» (далее – Положение, Конкурс) для определения круга юридических лиц и индивидуальных предпринимателей, оказывающих услуги розничной торговли в Краснодарском крае (далее – хозяйствующий субъект, участник Конкурса), добившихся лучших показателей в своей работе, и их поощрения </w:t>
        <w:br/>
        <w:t>с использованием возможностей средств массовой информации.</w:t>
      </w:r>
    </w:p>
    <w:p>
      <w:pPr>
        <w:pStyle w:val="Normal"/>
        <w:ind w:firstLine="709"/>
        <w:jc w:val="both"/>
        <w:rPr/>
      </w:pPr>
      <w:r>
        <w:rPr>
          <w:color w:val="000000"/>
        </w:rPr>
        <w:t xml:space="preserve">1.2. Конкурс проводится в рамках мероприятий </w:t>
      </w:r>
      <w:r>
        <w:rPr/>
        <w:t>государственной программы Краснодарского края «Социально-экономическое и инновационное развитие Краснодарского края», утвержденной постановлением главы администрации (губернатора) Краснодарского края от 5 октября 2015 г. № 943           «</w:t>
      </w:r>
      <w:r>
        <w:rPr>
          <w:color w:val="000000"/>
        </w:rPr>
        <w:t>Об утверждении государственной программы Краснодарского края «</w:t>
      </w:r>
      <w:r>
        <w:rPr/>
        <w:t>Социально-экономическое и инновационное развитие Краснодарского края</w:t>
      </w:r>
      <w:r>
        <w:rPr>
          <w:color w:val="000000"/>
        </w:rPr>
        <w:t>»,</w:t>
      </w:r>
      <w:r>
        <w:rPr>
          <w:b/>
        </w:rPr>
        <w:t xml:space="preserve"> </w:t>
        <w:br/>
      </w:r>
      <w:r>
        <w:rPr/>
        <w:t xml:space="preserve">в целях развития сферы торговли, путем повышения качества обслуживания, </w:t>
        <w:br/>
        <w:t xml:space="preserve">и уровня сервиса, а также способствующей развитию конкуренции </w:t>
        <w:br/>
        <w:t>на потребительском рынке Краснодарского края.</w:t>
      </w:r>
    </w:p>
    <w:p>
      <w:pPr>
        <w:pStyle w:val="Normal"/>
        <w:ind w:firstLine="709"/>
        <w:jc w:val="both"/>
        <w:rPr/>
      </w:pPr>
      <w:r>
        <w:rPr/>
        <w:t>1.3. Конечная цель Конкурса – поощрение лучших хозяйствующих субъектов, активно внедряющих инновационные методики и технологии, добившихся высоких показателей по обороту розничной торговли и вносящих свой вклад в развитие экономики Краснодарского края.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/>
      </w:pPr>
      <w:r>
        <w:rPr/>
        <w:t xml:space="preserve">1.4. Организатором Конкурса является департамент потребительской сферы и регулирования рынка алкоголя Краснодарского края </w:t>
        <w:br/>
        <w:t>(далее – департамент, организатор Конкурса).</w:t>
      </w:r>
    </w:p>
    <w:p>
      <w:pPr>
        <w:pStyle w:val="Normal"/>
        <w:ind w:firstLine="709"/>
        <w:jc w:val="both"/>
        <w:rPr/>
      </w:pPr>
      <w:r>
        <w:rPr/>
        <w:t xml:space="preserve">1.5. Координационно-организаторскую и методическую работу </w:t>
        <w:br/>
        <w:t>по проведению Конкурса проводит отдел развития торговли департамента.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center"/>
        <w:rPr/>
      </w:pPr>
      <w:r>
        <w:rPr/>
        <w:t>Условия и порядок проведения Конкурса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37"/>
        <w:jc w:val="both"/>
        <w:rPr/>
      </w:pPr>
      <w:r>
        <w:rPr/>
        <w:t xml:space="preserve">2.1. Участником Конкурса может быть любой хозяйствующий субъект, осуществляющий розничную торговлю независимо от вида, типа предприятия розничной торговли и формы собственности, классифицируемой </w:t>
        <w:br/>
        <w:t xml:space="preserve">в соответствии с классами 52 раздела </w:t>
      </w:r>
      <w:r>
        <w:rPr>
          <w:lang w:val="en-US"/>
        </w:rPr>
        <w:t>G</w:t>
      </w:r>
      <w:r>
        <w:rPr/>
        <w:t xml:space="preserve"> Общероссийского классификатора видов экономической деятельности (ОКВЭД) и 47 раздела </w:t>
      </w:r>
      <w:r>
        <w:rPr>
          <w:lang w:val="en-US"/>
        </w:rPr>
        <w:t>G</w:t>
      </w:r>
      <w:r>
        <w:rPr/>
        <w:t xml:space="preserve"> Общероссийского классификатора видов экономической деятельности (ОКВЭД 2).</w:t>
      </w:r>
    </w:p>
    <w:p>
      <w:pPr>
        <w:pStyle w:val="Normal"/>
        <w:ind w:firstLine="737"/>
        <w:jc w:val="both"/>
        <w:rPr/>
      </w:pPr>
      <w:r>
        <w:rPr/>
        <w:t xml:space="preserve">2.2. Органы местного самоуправления в Краснодарском крае вправе вносить в департамент предложения об участии в конкурсе ведущих организаций сферы розничной торговли, осуществляющих свою деятельность </w:t>
        <w:br/>
        <w:t>на территории муниципальных образований края.</w:t>
      </w:r>
    </w:p>
    <w:p>
      <w:pPr>
        <w:pStyle w:val="Normal"/>
        <w:ind w:firstLine="709"/>
        <w:jc w:val="both"/>
        <w:rPr/>
      </w:pPr>
      <w:r>
        <w:rPr/>
        <w:t>2.3. По результатам Конкурса определяются лучшие предприятия розничной торговли по следующим номинациям: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1) «Лучший гипермаркет»;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2) «Лучший магазин у дома»;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3) «Лучший супермаркет»;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4) «Лучший специализированный магазин»;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5) «Лучший магазин по реализации краевой продукции»;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6) «Лучший сельский магазин»;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7) «Лучший нестационарный торговый объект»;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8) «Лучшая региональная торговая сеть»;</w:t>
      </w:r>
    </w:p>
    <w:p>
      <w:pPr>
        <w:pStyle w:val="Normal"/>
        <w:ind w:firstLine="709" w:right="15"/>
        <w:jc w:val="both"/>
        <w:rPr>
          <w:bCs/>
        </w:rPr>
      </w:pPr>
      <w:r>
        <w:rPr>
          <w:bCs/>
        </w:rPr>
        <w:t>9) «Лучший торгово-развлекательный центр».</w:t>
      </w:r>
    </w:p>
    <w:p>
      <w:pPr>
        <w:pStyle w:val="Normal"/>
        <w:widowControl w:val="false"/>
        <w:ind w:firstLine="540"/>
        <w:jc w:val="both"/>
        <w:rPr>
          <w:rFonts w:cs="Calibri"/>
        </w:rPr>
      </w:pPr>
      <w:r>
        <w:rPr/>
        <w:t>В номинации «</w:t>
      </w:r>
      <w:r>
        <w:rPr>
          <w:bCs/>
        </w:rPr>
        <w:t>Лучший гипермаркет</w:t>
      </w:r>
      <w:r>
        <w:rPr/>
        <w:t xml:space="preserve">» победитель определяется среди хозяйствующих субъектов – участников Конкурса, представляющих собой </w:t>
      </w:r>
      <w:r>
        <w:rPr>
          <w:rFonts w:cs="Calibri"/>
        </w:rPr>
        <w:t>магазин с площадью торгового зала от 5000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в котором осуществляется продажа продовольственных и непродовольственных товаров универсального ассортимента преимущественно по методу самообслуживания.</w:t>
      </w:r>
    </w:p>
    <w:p>
      <w:pPr>
        <w:pStyle w:val="Normal"/>
        <w:widowControl w:val="false"/>
        <w:ind w:firstLine="540"/>
        <w:jc w:val="both"/>
        <w:rPr>
          <w:rFonts w:cs="Calibri"/>
        </w:rPr>
      </w:pPr>
      <w:r>
        <w:rPr/>
        <w:t>В номинации «</w:t>
      </w:r>
      <w:r>
        <w:rPr>
          <w:bCs/>
        </w:rPr>
        <w:t>Лучший магазин у дома</w:t>
      </w:r>
      <w:r>
        <w:rPr/>
        <w:t xml:space="preserve">» победитель определяется среди хозяйствующих субъектов – участников Конкурса, представляющих собой </w:t>
      </w:r>
      <w:r>
        <w:rPr>
          <w:rFonts w:cs="Calibri"/>
        </w:rPr>
        <w:t>предприятие розничной торговли с площадью торгового зала от 18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, в котором с использованием методов самообслуживания и/или индивидуального обслуживания через прилавок осуществляют продажу продовольственных </w:t>
        <w:br/>
        <w:t>и непродовольственных товаров повседневного спроса узкого ассортимента, включающего ограниченное число разновидностей товаров.</w:t>
      </w:r>
    </w:p>
    <w:p>
      <w:pPr>
        <w:pStyle w:val="Normal"/>
        <w:widowControl w:val="false"/>
        <w:ind w:firstLine="540"/>
        <w:jc w:val="both"/>
        <w:rPr>
          <w:rFonts w:cs="Calibri"/>
        </w:rPr>
      </w:pPr>
      <w:r>
        <w:rPr/>
        <w:t>В номинации «</w:t>
      </w:r>
      <w:r>
        <w:rPr>
          <w:bCs/>
        </w:rPr>
        <w:t>Лучший супермаркет</w:t>
      </w:r>
      <w:r>
        <w:rPr/>
        <w:t xml:space="preserve">» победитель определяется среди хозяйствующих субъектов – участников Конкурса, представляющих собой магазин </w:t>
      </w:r>
      <w:r>
        <w:rPr>
          <w:rFonts w:cs="Calibri"/>
        </w:rPr>
        <w:t>с площадью торгового зала от 400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в котором осуществляется продажа продовольственных и непродовольственных товаров повседневного спроса, преимущественно по методу самообслуживания.</w:t>
      </w:r>
    </w:p>
    <w:p>
      <w:pPr>
        <w:pStyle w:val="Normal"/>
        <w:widowControl w:val="false"/>
        <w:ind w:firstLine="540"/>
        <w:jc w:val="both"/>
        <w:rPr>
          <w:rFonts w:cs="Calibri"/>
        </w:rPr>
      </w:pPr>
      <w:r>
        <w:rPr/>
        <w:t>В номинации «</w:t>
      </w:r>
      <w:r>
        <w:rPr>
          <w:bCs/>
        </w:rPr>
        <w:t>Лучший специализированный магазин</w:t>
      </w:r>
      <w:r>
        <w:rPr/>
        <w:t>» победитель определяется среди хозяйствующих субъектов – участников Конкурса, представляющих собой</w:t>
      </w:r>
      <w:r>
        <w:rPr>
          <w:rFonts w:cs="Calibri"/>
        </w:rPr>
        <w:t xml:space="preserve"> специализированный магазин, в котором осуществляется продажа товаров одной группы или ее части – продовольственных групп («рыба», «мясо», «колбасы», «минеральные воды», «хлеб», «овощи-фрукты» и т.д.), непродовольственных групп («одежда», «обувь», «ткани», «мебель», «книги», «зоотовары», «семена», «цветы» и т.д.).</w:t>
      </w:r>
    </w:p>
    <w:p>
      <w:pPr>
        <w:pStyle w:val="Normal"/>
        <w:ind w:firstLine="709"/>
        <w:jc w:val="both"/>
        <w:rPr/>
      </w:pPr>
      <w:r>
        <w:rPr/>
        <w:t>В номинации «</w:t>
      </w:r>
      <w:r>
        <w:rPr>
          <w:bCs/>
        </w:rPr>
        <w:t>Лучший магазин по реализации краевой продукции</w:t>
      </w:r>
      <w:r>
        <w:rPr/>
        <w:t>» победитель определяется среди хозяйствующих субъектов – участников Конкурса, специализирующихся на реализации продуктов питания, произведенных на территории Краснодарского края.</w:t>
      </w:r>
    </w:p>
    <w:p>
      <w:pPr>
        <w:pStyle w:val="Normal"/>
        <w:ind w:firstLine="709"/>
        <w:jc w:val="both"/>
        <w:rPr/>
      </w:pPr>
      <w:r>
        <w:rPr/>
        <w:t>В номинации «</w:t>
      </w:r>
      <w:r>
        <w:rPr>
          <w:bCs/>
        </w:rPr>
        <w:t xml:space="preserve">Лучший сельский магазин» </w:t>
      </w:r>
      <w:r>
        <w:rPr/>
        <w:t>победитель определяется среди хозяйствующих субъектов – участников Конкурса, осуществляющих торговую деятельность по реализации продовольственной и промышленной группы товаров на территории сельских поселений Краснодарского края.</w:t>
      </w:r>
    </w:p>
    <w:p>
      <w:pPr>
        <w:pStyle w:val="Normal"/>
        <w:ind w:firstLine="709"/>
        <w:jc w:val="both"/>
        <w:rPr/>
      </w:pPr>
      <w:r>
        <w:rPr/>
        <w:t>В номинации «Лучший нестационарный торговый объект» победитель определяется среди хозяйствующих субъектов – участников Конкурса, осуществляющих торговую деятельность в нестационарных торговых объектах, расположенных согласно утвержденным схемам размещения.</w:t>
      </w:r>
    </w:p>
    <w:p>
      <w:pPr>
        <w:pStyle w:val="Normal"/>
        <w:widowControl w:val="false"/>
        <w:ind w:firstLine="540"/>
        <w:jc w:val="both"/>
        <w:rPr>
          <w:rFonts w:eastAsia="Calibri"/>
        </w:rPr>
      </w:pPr>
      <w:r>
        <w:rPr/>
        <w:t>В номинации «</w:t>
      </w:r>
      <w:r>
        <w:rPr>
          <w:bCs/>
        </w:rPr>
        <w:t>Лучшая региональная торговая сеть</w:t>
      </w:r>
      <w:r>
        <w:rPr/>
        <w:t>» победитель определяется среди хозяйствующих субъектов-участников Конкурса, представляющих собой</w:t>
      </w:r>
      <w:r>
        <w:rPr>
          <w:rFonts w:cs="Calibri"/>
        </w:rPr>
        <w:t xml:space="preserve"> </w:t>
      </w:r>
      <w:r>
        <w:rPr>
          <w:rFonts w:eastAsia="Calibri"/>
        </w:rPr>
        <w:t xml:space="preserve">совокупность двух и более торговых объектов, которые принадлежат на законном основании одному хозяйствующему субъекту или нескольким хозяйствующим субъектам, входящим в одну группу лиц в соответствии с Федеральным </w:t>
      </w:r>
      <w:hyperlink r:id="rId2">
        <w:r>
          <w:rPr>
            <w:rStyle w:val="ListLabel19"/>
            <w:rFonts w:eastAsia="Calibri"/>
          </w:rPr>
          <w:t>законом</w:t>
        </w:r>
      </w:hyperlink>
      <w:r>
        <w:rPr>
          <w:rFonts w:eastAsia="Calibri"/>
        </w:rPr>
        <w:t xml:space="preserve"> «О защите конкуренции», или совокупность двух и более торговых объектов, которые используются под единым коммерческим обозначением или иным средством индивидуализации, расположенных на территории Краснодарского края или одного взятого муниципального образования.</w:t>
      </w:r>
    </w:p>
    <w:p>
      <w:pPr>
        <w:pStyle w:val="Normal"/>
        <w:widowControl w:val="false"/>
        <w:ind w:firstLine="540"/>
        <w:jc w:val="both"/>
        <w:rPr>
          <w:rFonts w:cs="Calibri"/>
        </w:rPr>
      </w:pPr>
      <w:r>
        <w:rPr/>
        <w:t>В номинации «</w:t>
      </w:r>
      <w:r>
        <w:rPr>
          <w:bCs/>
        </w:rPr>
        <w:t>Лучший торгово-развлекательный центр</w:t>
      </w:r>
      <w:r>
        <w:rPr/>
        <w:t xml:space="preserve">» победитель определяется среди участников Конкурса, представляющих собой совокупность торговых предприятий, реализующих и оказывающих услуги, расположенные на определенной территории. </w:t>
      </w:r>
    </w:p>
    <w:p>
      <w:pPr>
        <w:pStyle w:val="Normal"/>
        <w:ind w:firstLine="709" w:right="15"/>
        <w:jc w:val="both"/>
        <w:rPr/>
      </w:pPr>
      <w:r>
        <w:rPr/>
        <w:t xml:space="preserve">2.4. Хозяйствующие субъекты, желающие принять участие в Конкурсе, оформляют заявку с указанием номинации, в которой желают принять участие, согласно приложению 1 к настоящему Положению, и заполняют анкету участника Конкурса, с приложением презентаций в формате PowerPoint (возможно предоставление на электронных носителях). Участники, подавшие заявление в номинациях: </w:t>
      </w:r>
      <w:r>
        <w:rPr>
          <w:bCs/>
        </w:rPr>
        <w:t xml:space="preserve">«Лучший гипермаркет», «Лучший магазин у дома», «Лучший супермаркет», «Лучший специализированный магазин», «Лучший магазин по реализации краевой продукции», «Лучший сельский магазин», «Лучшая региональная торговая сеть» </w:t>
      </w:r>
      <w:r>
        <w:rPr/>
        <w:t xml:space="preserve">заполняют анкету, согласно приложению </w:t>
        <w:br/>
        <w:t>2 к настоящему Положению, участники подавшие заявку на участие в номинации «Лучший нестационарный торговый объект» заполняют анкету согласно приложению 3 к настоящему Положению, а участники подавшие заявку на участие в номинации «Лучший торгово-развлекательный центр» заполняют анкету согласно приложению 4 к настоящему Положению.</w:t>
      </w:r>
    </w:p>
    <w:p>
      <w:pPr>
        <w:pStyle w:val="Normal"/>
        <w:ind w:firstLine="709"/>
        <w:jc w:val="both"/>
        <w:rPr/>
      </w:pPr>
      <w:r>
        <w:rPr/>
        <w:t>Информация предоставляется в адрес департамента до 31 октября 2025 г.</w:t>
      </w:r>
    </w:p>
    <w:p>
      <w:pPr>
        <w:pStyle w:val="Normal"/>
        <w:ind w:firstLine="709"/>
        <w:jc w:val="both"/>
        <w:rPr/>
      </w:pPr>
      <w:r>
        <w:rPr/>
        <w:t>Один хозяйствующий субъект вправе выставлять для участия в Конкурсе несколько объектов, если таковые имеются у него в наличии.</w:t>
      </w:r>
    </w:p>
    <w:p>
      <w:pPr>
        <w:pStyle w:val="Normal"/>
        <w:ind w:firstLine="709"/>
        <w:jc w:val="both"/>
        <w:rPr/>
      </w:pPr>
      <w:r>
        <w:rPr/>
        <w:t>В случае, если документы направляются через администрацию муниципального образования, то материалы (заявка и анкета) подкрепляются письмом администрации муниципального образования, подтверждающим достоверность предоставленных данных.</w:t>
      </w:r>
    </w:p>
    <w:p>
      <w:pPr>
        <w:pStyle w:val="Normal"/>
        <w:ind w:firstLine="709"/>
        <w:jc w:val="both"/>
        <w:rPr/>
      </w:pPr>
      <w:r>
        <w:rPr/>
        <w:t xml:space="preserve">2.5. Материалы, поступившие по истечении срока, установленного пунктом 2.4 настоящего Положения, или представленные не в полном объеме, </w:t>
        <w:br/>
        <w:t xml:space="preserve">не рассматриваются и не возвращаются. </w:t>
      </w:r>
    </w:p>
    <w:p>
      <w:pPr>
        <w:pStyle w:val="Normal"/>
        <w:ind w:firstLine="709"/>
        <w:jc w:val="both"/>
        <w:rPr/>
      </w:pPr>
      <w:r>
        <w:rPr/>
        <w:t>2.6. Участник Конкурса имеет право обращаться в отдел развития торговли департамента за разъяснением по вопросам оформления материалов на участие в Конкурсе, по телефонам: (861) 268-27-69.</w:t>
      </w:r>
    </w:p>
    <w:p>
      <w:pPr>
        <w:pStyle w:val="Normal"/>
        <w:ind w:firstLine="709"/>
        <w:jc w:val="both"/>
        <w:rPr/>
      </w:pPr>
      <w:r>
        <w:rPr/>
        <w:t>2.7. Участник Конкурса несет ответственность за достоверность предоставленных сведений и материалов. В случае выявления недостоверности представленных материалов (показателей), претендент от участия в Конкурсе отстраняется.</w:t>
      </w:r>
    </w:p>
    <w:p>
      <w:pPr>
        <w:pStyle w:val="Normal"/>
        <w:ind w:firstLine="709"/>
        <w:jc w:val="both"/>
        <w:rPr/>
      </w:pPr>
      <w:r>
        <w:rPr/>
        <w:t xml:space="preserve">2.8. Победители Конкурса определяются по каждой номинации </w:t>
        <w:br/>
        <w:t>в отдельности.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  <w:t>3. Критерии оценки участников Конкурса</w:t>
      </w:r>
    </w:p>
    <w:p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 xml:space="preserve">3.1. Критериями при оценке участников Конкурса являются: 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 xml:space="preserve">1) положительная динамика показателей, характеризующих финансово-хозяйственную деятельность, </w:t>
      </w:r>
      <w:r>
        <w:rPr/>
        <w:t>а также объемов платежей в консолидированный бюджет Краснодарского края (в каждой группе);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2) высокий уровень культуры обслуживания потребителей;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3) соблюдение норм и правил организации торговли и оказания услуг, современных требований к внешнему благоустройству объектов;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4) профессиональный уровень персонала.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3.2. При определении победителей Конкурса учитываются следующие показатели работы хозяйствующих субъектов: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1) характеристика объекта (согласно анкетным данным), его соответствие требованиям, нормам и стандартам, удобство для клиентов;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2) показатели финансово-хозяйственной деятельности хозяйствующих субъектов;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3) обеспечение беспрепятственного доступа инвалидов и маломобильных групп граждан;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>4) наличие программы производственного контроля на предприятиях, осуществляющих реализацию продовольственной группы товаров.</w:t>
      </w:r>
    </w:p>
    <w:p>
      <w:pPr>
        <w:pStyle w:val="BodyTextIndented"/>
        <w:ind w:firstLine="709"/>
        <w:rPr>
          <w:color w:val="000000"/>
        </w:rPr>
      </w:pPr>
      <w:r>
        <w:rPr>
          <w:color w:val="000000"/>
        </w:rPr>
        <w:t xml:space="preserve">3.3. При определении победителей Конкурса учитываются показатели деятельности хозяйствующих субъектов в динамике за 2 предыдущих года, </w:t>
        <w:br/>
        <w:t>а также за 10 месяцев 202</w:t>
      </w:r>
      <w:bookmarkStart w:id="0" w:name="_GoBack"/>
      <w:bookmarkEnd w:id="0"/>
      <w:r>
        <w:rPr>
          <w:color w:val="000000"/>
        </w:rPr>
        <w:t xml:space="preserve">5 г.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4. Основные функции организатора Конкурса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4.1. Сбор материалов, предоставляемых участниками Конкурса для оценки деятельности хозяйствующего субъекта.</w:t>
      </w:r>
    </w:p>
    <w:p>
      <w:pPr>
        <w:pStyle w:val="Normal"/>
        <w:ind w:firstLine="709"/>
        <w:jc w:val="both"/>
        <w:rPr/>
      </w:pPr>
      <w:r>
        <w:rPr/>
        <w:t>4.2. Экспертиза представленных участниками Конкурса материалов.</w:t>
      </w:r>
    </w:p>
    <w:p>
      <w:pPr>
        <w:pStyle w:val="Normal"/>
        <w:tabs>
          <w:tab w:val="clear" w:pos="708"/>
          <w:tab w:val="left" w:pos="0" w:leader="none"/>
          <w:tab w:val="left" w:pos="180" w:leader="none"/>
          <w:tab w:val="left" w:pos="1418" w:leader="none"/>
        </w:tabs>
        <w:ind w:firstLine="709"/>
        <w:jc w:val="both"/>
        <w:rPr/>
      </w:pPr>
      <w:r>
        <w:rPr/>
        <w:t>4.3. Оформление результатов Конкурса и подготовка процедуры награждения победителей.</w:t>
      </w:r>
    </w:p>
    <w:p>
      <w:pPr>
        <w:pStyle w:val="Normal"/>
        <w:ind w:firstLine="709"/>
        <w:jc w:val="both"/>
        <w:rPr/>
      </w:pPr>
      <w:r>
        <w:rPr/>
        <w:t xml:space="preserve">4.4. </w:t>
      </w:r>
      <w:r>
        <w:rPr>
          <w:color w:val="000000"/>
        </w:rPr>
        <w:t xml:space="preserve">Организатор Конкурса проводит анализ и оценку показателей деятельности хозяйствующих субъектов, в случае необходимости с выездом </w:t>
        <w:br/>
        <w:t>на место.</w:t>
      </w:r>
    </w:p>
    <w:p>
      <w:pPr>
        <w:pStyle w:val="Normal"/>
        <w:ind w:firstLine="709"/>
        <w:jc w:val="both"/>
        <w:rPr/>
      </w:pPr>
      <w:r>
        <w:rPr>
          <w:color w:val="000000"/>
        </w:rPr>
        <w:t xml:space="preserve">4.5. Результаты анализа и оценки эффективности деятельности претендентов, подготовленные организатором Конкурса, рассматриваются </w:t>
        <w:br/>
        <w:t>на заседании комиссии по подведению итогов конкурса (далее – комиссия).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5. Подведение итогов, награждение победителей Конкурса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tabs>
          <w:tab w:val="clear" w:pos="708"/>
          <w:tab w:val="left" w:pos="851" w:leader="none"/>
          <w:tab w:val="left" w:pos="1418" w:leader="none"/>
        </w:tabs>
        <w:ind w:firstLine="709"/>
        <w:jc w:val="both"/>
        <w:rPr/>
      </w:pPr>
      <w:r>
        <w:rPr/>
        <w:t>5.1. Подведение итогов Конкурса осуществляет комиссия. Состав комиссии утверждается приказом департамента.</w:t>
      </w:r>
    </w:p>
    <w:p>
      <w:pPr>
        <w:pStyle w:val="Normal"/>
        <w:ind w:firstLine="709"/>
        <w:jc w:val="both"/>
        <w:rPr/>
      </w:pPr>
      <w:r>
        <w:rPr/>
        <w:t xml:space="preserve">5.2. В случае необходимости, комиссия имеет право запрашивать </w:t>
        <w:br/>
        <w:t xml:space="preserve">у участников Конкурса дополнительные сведения и разъяснения. 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/>
      </w:pPr>
      <w:r>
        <w:rPr/>
        <w:t>5.3. Подведение итогов Конкурса проводится до 1 декабря 2025 г.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/>
      </w:pPr>
      <w:r>
        <w:rPr/>
        <w:t>5.4. Комиссия при подведении итогов Конкурса использует оценочные листы, приведенные в приложении 5 к настоящему положению.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/>
      </w:pPr>
      <w:r>
        <w:rPr/>
        <w:t xml:space="preserve">5.5. Комиссия, рассмотрев все поступившие материалы, определяет победителей в девяти номинациях. 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/>
      </w:pPr>
      <w:r>
        <w:rPr/>
        <w:t xml:space="preserve">Решение принимается большинством голосов членов комиссии, оформляется протоколом, который подписывается председателем комиссии </w:t>
        <w:br/>
        <w:t>и секретарем. Ведение протокола обеспечивает секретарь комиссии.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/>
      </w:pPr>
      <w:r>
        <w:rPr/>
        <w:t>5.6. Победител</w:t>
      </w:r>
      <w:r>
        <w:rPr/>
        <w:t>ям</w:t>
      </w:r>
      <w:r>
        <w:rPr/>
        <w:t xml:space="preserve"> </w:t>
      </w:r>
      <w:r>
        <w:rPr/>
        <w:t>вручается наградная продукция в соответствии с номинациями Конкурса</w:t>
      </w:r>
      <w:r>
        <w:rPr/>
        <w:t>.</w:t>
      </w:r>
    </w:p>
    <w:p>
      <w:pPr>
        <w:pStyle w:val="Normal"/>
        <w:tabs>
          <w:tab w:val="clear" w:pos="708"/>
          <w:tab w:val="left" w:pos="720" w:leader="none"/>
        </w:tabs>
        <w:jc w:val="both"/>
        <w:rPr/>
      </w:pPr>
      <w:r>
        <w:rPr/>
        <w:tab/>
        <w:t xml:space="preserve">5.7. Информация о результатах конкурса, а также месте и времени награждения победителей размещается на официальном сайте департамента </w:t>
        <w:br/>
        <w:t xml:space="preserve">в информационно-телекоммуникационной сети «Интернет». </w:t>
      </w:r>
    </w:p>
    <w:p>
      <w:pPr>
        <w:pStyle w:val="Normal"/>
        <w:ind w:firstLine="709"/>
        <w:jc w:val="both"/>
        <w:rPr/>
      </w:pPr>
      <w:r>
        <w:rPr/>
        <w:t>5.8. Хозяйствующие субъекты, признанные победителями Конкурса, имеют право использовать эти достижения в рекламных целях.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Начальник отдела развития </w:t>
      </w:r>
    </w:p>
    <w:p>
      <w:pPr>
        <w:pStyle w:val="Normal"/>
        <w:jc w:val="both"/>
        <w:rPr/>
      </w:pPr>
      <w:r>
        <w:rPr/>
        <w:t>торговли департамента                                                                          К.В. Кошелев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8" w:top="993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2b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link w:val="BodyTextIndented"/>
    <w:qFormat/>
    <w:rsid w:val="00fa2bbe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Верхний колонтитул Знак"/>
    <w:uiPriority w:val="99"/>
    <w:qFormat/>
    <w:rsid w:val="00fa2bb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Нижний колонтитул Знак"/>
    <w:uiPriority w:val="99"/>
    <w:qFormat/>
    <w:rsid w:val="00fa2bb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7" w:customStyle="1">
    <w:name w:val="Текст выноски Знак"/>
    <w:link w:val="BalloonText"/>
    <w:uiPriority w:val="99"/>
    <w:semiHidden/>
    <w:qFormat/>
    <w:rsid w:val="007450f3"/>
    <w:rPr>
      <w:rFonts w:ascii="Tahoma" w:hAnsi="Tahoma" w:eastAsia="Times New Roman" w:cs="Tahoma"/>
      <w:sz w:val="16"/>
      <w:szCs w:val="16"/>
      <w:lang w:eastAsia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BodyTextIndented">
    <w:name w:val="Body Text, Indented"/>
    <w:basedOn w:val="Normal"/>
    <w:link w:val="Style14"/>
    <w:qFormat/>
    <w:rsid w:val="00fa2bbe"/>
    <w:pPr>
      <w:ind w:firstLine="720"/>
      <w:jc w:val="both"/>
    </w:pPr>
    <w:rPr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a2bb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fa2bb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7450f3"/>
    <w:pPr/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701D0C8EFABBAE06AF78FFA44809707FA77B78503F3B1ED113924E55A26810948431CEE3ERFK2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4BB1-BD0F-4908-BF2A-E7C9F9BE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LibreOffice/24.2.6.2$Linux_X86_64 LibreOffice_project/420$Build-2</Application>
  <AppVersion>15.0000</AppVersion>
  <Pages>5</Pages>
  <Words>1291</Words>
  <Characters>10028</Characters>
  <CharactersWithSpaces>11467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2020-10-05T14:22:00Z</dcterms:created>
  <dc:creator>User</dc:creator>
  <dc:description/>
  <dc:language>ru-RU</dc:language>
  <cp:lastModifiedBy/>
  <cp:lastPrinted>2025-09-25T10:25:53Z</cp:lastPrinted>
  <dcterms:modified xsi:type="dcterms:W3CDTF">2025-09-26T11:07:37Z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